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5DA2" w:rsidRPr="00215DA2" w:rsidRDefault="00215DA2" w:rsidP="00215DA2">
      <w:pPr>
        <w:rPr>
          <w:rFonts w:ascii="Arial" w:hAnsi="Arial" w:cs="Arial"/>
          <w:b/>
          <w:bCs/>
          <w:color w:val="000000" w:themeColor="text1"/>
        </w:rPr>
      </w:pPr>
      <w:bookmarkStart w:id="0" w:name="_GoBack"/>
      <w:r w:rsidRPr="00215DA2">
        <w:rPr>
          <w:rFonts w:ascii="Arial" w:hAnsi="Arial" w:cs="Arial"/>
          <w:b/>
          <w:bCs/>
          <w:color w:val="000000" w:themeColor="text1"/>
        </w:rPr>
        <w:t xml:space="preserve">Introducing an Efficient Sampling Method for National Surveys with Limited Sample Sizes: Application to a National Study to Determine </w:t>
      </w:r>
      <w:r w:rsidRPr="00215DA2">
        <w:rPr>
          <w:rFonts w:ascii="Arial" w:hAnsi="Arial" w:cs="Arial"/>
          <w:b/>
          <w:bCs/>
          <w:color w:val="000000" w:themeColor="text1"/>
        </w:rPr>
        <w:t>Quality and Cost of Healthcare.</w:t>
      </w:r>
    </w:p>
    <w:bookmarkEnd w:id="0"/>
    <w:p w:rsidR="00215DA2" w:rsidRDefault="00215DA2" w:rsidP="009A32DF">
      <w:pPr>
        <w:pStyle w:val="Heading1"/>
        <w:spacing w:line="480" w:lineRule="auto"/>
      </w:pPr>
    </w:p>
    <w:p w:rsidR="009A32DF" w:rsidRDefault="009249B3" w:rsidP="009A32DF">
      <w:pPr>
        <w:pStyle w:val="Heading1"/>
        <w:spacing w:line="480" w:lineRule="auto"/>
      </w:pPr>
      <w:r>
        <w:t>Additional file 1</w:t>
      </w:r>
    </w:p>
    <w:p w:rsidR="00215DA2" w:rsidRPr="00215DA2" w:rsidRDefault="00215DA2" w:rsidP="00215DA2"/>
    <w:p w:rsidR="009A32DF" w:rsidRPr="00BF39FE" w:rsidRDefault="009A32DF" w:rsidP="009A32DF">
      <w:pPr>
        <w:pStyle w:val="Heading2"/>
        <w:spacing w:line="480" w:lineRule="auto"/>
      </w:pPr>
      <w:bookmarkStart w:id="1" w:name="_Toc517349687"/>
      <w:bookmarkStart w:id="2" w:name="_Toc518039347"/>
      <w:r w:rsidRPr="00BF39FE">
        <w:t xml:space="preserve">Part A: </w:t>
      </w:r>
      <w:r>
        <w:t xml:space="preserve">Theoretical Aspects of </w:t>
      </w:r>
      <w:r w:rsidRPr="00BF39FE">
        <w:t>Model-based Method</w:t>
      </w:r>
      <w:bookmarkEnd w:id="1"/>
      <w:bookmarkEnd w:id="2"/>
      <w:r w:rsidRPr="00BF39FE">
        <w:t xml:space="preserve"> </w:t>
      </w:r>
    </w:p>
    <w:p w:rsidR="009A32DF" w:rsidRPr="00D94CA1" w:rsidRDefault="009A32DF" w:rsidP="009A32DF">
      <w:pPr>
        <w:spacing w:line="480" w:lineRule="auto"/>
      </w:pPr>
      <w:r w:rsidRPr="00D94CA1">
        <w:t xml:space="preserve">In mathematical notation, imagine you have data on several attributes (a matrix X which includes several variables for different individuals) </w:t>
      </w:r>
      <w:r w:rsidRPr="00E812BE">
        <w:rPr>
          <w:noProof/>
        </w:rPr>
        <w:t>and</w:t>
      </w:r>
      <w:r w:rsidRPr="00D94CA1">
        <w:t xml:space="preserve"> you want to classify these individuals into G homogeneous cluster which suitably shows all the differences in the data set. We can consider X as coming from a mixture of densities as follows: </w:t>
      </w:r>
    </w:p>
    <w:p w:rsidR="009A32DF" w:rsidRPr="008B0E03" w:rsidRDefault="009A32DF" w:rsidP="009A32DF">
      <w:pPr>
        <w:spacing w:line="480" w:lineRule="auto"/>
      </w:pPr>
      <w:r>
        <w:rPr>
          <w:rFonts w:eastAsiaTheme="majorEastAsia" w:cs="Times New Roman"/>
          <w:b/>
          <w:noProof/>
          <w:color w:val="2F5496" w:themeColor="accent1" w:themeShade="BF"/>
          <w:position w:val="-28"/>
          <w:lang w:bidi="ar-SA"/>
        </w:rPr>
        <w:drawing>
          <wp:inline distT="0" distB="0" distL="0" distR="0" wp14:anchorId="44F030CC" wp14:editId="4D8CD85A">
            <wp:extent cx="1181100" cy="468630"/>
            <wp:effectExtent l="0" t="0" r="0" b="7620"/>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81100" cy="468630"/>
                    </a:xfrm>
                    <a:prstGeom prst="rect">
                      <a:avLst/>
                    </a:prstGeom>
                    <a:noFill/>
                    <a:ln>
                      <a:noFill/>
                    </a:ln>
                  </pic:spPr>
                </pic:pic>
              </a:graphicData>
            </a:graphic>
          </wp:inline>
        </w:drawing>
      </w:r>
    </w:p>
    <w:p w:rsidR="009A32DF" w:rsidRPr="00D94CA1" w:rsidRDefault="009A32DF" w:rsidP="009A32DF">
      <w:pPr>
        <w:spacing w:line="480" w:lineRule="auto"/>
      </w:pPr>
      <w:r w:rsidRPr="00D94CA1">
        <w:t xml:space="preserve">Where, </w:t>
      </w:r>
      <w:r w:rsidRPr="00E812BE">
        <w:rPr>
          <w:noProof/>
        </w:rPr>
        <w:t>fk</w:t>
      </w:r>
      <w:r w:rsidRPr="00D94CA1">
        <w:t xml:space="preserve"> is the probability density function of the observations in cluster k, and </w:t>
      </w:r>
      <w:r>
        <w:rPr>
          <w:noProof/>
          <w:lang w:bidi="ar-SA"/>
        </w:rPr>
        <w:drawing>
          <wp:inline distT="0" distB="0" distL="0" distR="0" wp14:anchorId="2F54D128" wp14:editId="63E8CAEA">
            <wp:extent cx="190500" cy="228600"/>
            <wp:effectExtent l="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D94CA1">
        <w:t xml:space="preserve">is the probability that </w:t>
      </w:r>
      <w:r w:rsidRPr="00E812BE">
        <w:rPr>
          <w:noProof/>
        </w:rPr>
        <w:t>an observation</w:t>
      </w:r>
      <w:r w:rsidRPr="00D94CA1">
        <w:t xml:space="preserve"> comes from the kth cluster</w:t>
      </w:r>
      <w:r w:rsidRPr="00D94CA1">
        <w:rPr>
          <w:b/>
        </w:rPr>
        <w:t xml:space="preserve"> </w:t>
      </w:r>
      <w:r w:rsidRPr="00D94CA1">
        <w:t>(</w:t>
      </w:r>
      <w:r>
        <w:rPr>
          <w:rFonts w:cs="Times New Roman"/>
          <w:b/>
          <w:noProof/>
          <w:position w:val="-12"/>
          <w:lang w:bidi="ar-SA"/>
        </w:rPr>
        <w:drawing>
          <wp:inline distT="0" distB="0" distL="0" distR="0" wp14:anchorId="74BD559C" wp14:editId="1E8A4360">
            <wp:extent cx="659130" cy="228600"/>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9130" cy="228600"/>
                    </a:xfrm>
                    <a:prstGeom prst="rect">
                      <a:avLst/>
                    </a:prstGeom>
                    <a:noFill/>
                    <a:ln>
                      <a:noFill/>
                    </a:ln>
                  </pic:spPr>
                </pic:pic>
              </a:graphicData>
            </a:graphic>
          </wp:inline>
        </w:drawing>
      </w:r>
      <w:r w:rsidRPr="00D94CA1">
        <w:t xml:space="preserve"> and</w:t>
      </w:r>
      <w:r>
        <w:rPr>
          <w:rFonts w:cs="Times New Roman"/>
          <w:b/>
          <w:noProof/>
          <w:position w:val="-28"/>
          <w:lang w:bidi="ar-SA"/>
        </w:rPr>
        <w:drawing>
          <wp:inline distT="0" distB="0" distL="0" distR="0" wp14:anchorId="39477D89" wp14:editId="06A7CB70">
            <wp:extent cx="571500" cy="468630"/>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500" cy="468630"/>
                    </a:xfrm>
                    <a:prstGeom prst="rect">
                      <a:avLst/>
                    </a:prstGeom>
                    <a:noFill/>
                    <a:ln>
                      <a:noFill/>
                    </a:ln>
                  </pic:spPr>
                </pic:pic>
              </a:graphicData>
            </a:graphic>
          </wp:inline>
        </w:drawing>
      </w:r>
      <w:r w:rsidRPr="00D94CA1">
        <w:t xml:space="preserve">). </w:t>
      </w:r>
      <w:r w:rsidRPr="00E812BE">
        <w:rPr>
          <w:noProof/>
        </w:rPr>
        <w:t>Each cluster is usually modeled by the normal or Gaussian distribution</w:t>
      </w:r>
      <w:r w:rsidRPr="00D94CA1">
        <w:t xml:space="preserve">. The distributions in each cluster </w:t>
      </w:r>
      <w:r w:rsidRPr="00E812BE">
        <w:rPr>
          <w:noProof/>
        </w:rPr>
        <w:t>are characterized</w:t>
      </w:r>
      <w:r w:rsidRPr="00D94CA1">
        <w:t xml:space="preserve"> by the mean µk and the covariance matrix </w:t>
      </w:r>
      <w:r w:rsidRPr="00D94CA1">
        <w:rPr>
          <w:b/>
        </w:rPr>
        <w:t>Σ</w:t>
      </w:r>
      <w:r w:rsidRPr="00D94CA1">
        <w:rPr>
          <w:b/>
          <w:vertAlign w:val="subscript"/>
        </w:rPr>
        <w:t>k</w:t>
      </w:r>
      <w:r w:rsidRPr="00D94CA1">
        <w:t>, which has the following probability density function:</w:t>
      </w:r>
    </w:p>
    <w:p w:rsidR="009A32DF" w:rsidRPr="008B0E03" w:rsidRDefault="009A32DF" w:rsidP="009A32DF">
      <w:pPr>
        <w:spacing w:line="480" w:lineRule="auto"/>
      </w:pPr>
      <w:r w:rsidRPr="00D94CA1">
        <w:rPr>
          <w:noProof/>
          <w:lang w:bidi="ar-SA"/>
        </w:rPr>
        <w:drawing>
          <wp:inline distT="0" distB="0" distL="0" distR="0" wp14:anchorId="6E3432EB" wp14:editId="63925A27">
            <wp:extent cx="3608070" cy="5181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56035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3608070" cy="518160"/>
                    </a:xfrm>
                    <a:prstGeom prst="rect">
                      <a:avLst/>
                    </a:prstGeom>
                    <a:noFill/>
                    <a:ln>
                      <a:noFill/>
                    </a:ln>
                  </pic:spPr>
                </pic:pic>
              </a:graphicData>
            </a:graphic>
          </wp:inline>
        </w:drawing>
      </w:r>
    </w:p>
    <w:p w:rsidR="009A32DF" w:rsidRDefault="009A32DF" w:rsidP="009A32DF">
      <w:pPr>
        <w:spacing w:line="480" w:lineRule="auto"/>
      </w:pPr>
      <w:r w:rsidRPr="00D94CA1">
        <w:t xml:space="preserve">There are </w:t>
      </w:r>
      <w:r w:rsidRPr="00E812BE">
        <w:rPr>
          <w:noProof/>
        </w:rPr>
        <w:t>a number of</w:t>
      </w:r>
      <w:r w:rsidRPr="00D94CA1">
        <w:t xml:space="preserve"> possible parameterizations of</w:t>
      </w:r>
      <w:r w:rsidRPr="00D94CA1">
        <w:rPr>
          <w:b/>
        </w:rPr>
        <w:t xml:space="preserve"> Σ</w:t>
      </w:r>
      <w:r w:rsidRPr="00D94CA1">
        <w:rPr>
          <w:b/>
          <w:vertAlign w:val="subscript"/>
        </w:rPr>
        <w:t>k</w:t>
      </w:r>
      <w:r w:rsidRPr="00D94CA1">
        <w:rPr>
          <w:b/>
        </w:rPr>
        <w:t xml:space="preserve">, </w:t>
      </w:r>
      <w:r w:rsidRPr="00D94CA1">
        <w:t xml:space="preserve">some of them are parameterized to impose constraints across components. In practice, we selected the best model specification based on </w:t>
      </w:r>
      <w:r w:rsidRPr="00D94CA1">
        <w:lastRenderedPageBreak/>
        <w:t>model comparison criteria such as BIC. We have used R programming language using “</w:t>
      </w:r>
      <w:r w:rsidRPr="00E812BE">
        <w:rPr>
          <w:noProof/>
        </w:rPr>
        <w:t>mclust</w:t>
      </w:r>
      <w:r w:rsidRPr="00D94CA1">
        <w:t>” package to estimate the best set of clusters accordingly.</w:t>
      </w:r>
    </w:p>
    <w:p w:rsidR="009249B3" w:rsidRDefault="009249B3">
      <w:pPr>
        <w:spacing w:after="160" w:line="259" w:lineRule="auto"/>
        <w:jc w:val="left"/>
        <w:rPr>
          <w:rFonts w:asciiTheme="majorBidi" w:eastAsiaTheme="majorEastAsia" w:hAnsiTheme="majorBidi" w:cs="Century Gothic"/>
          <w:b/>
          <w:color w:val="2F5496" w:themeColor="accent1" w:themeShade="BF"/>
          <w:sz w:val="28"/>
          <w:szCs w:val="36"/>
        </w:rPr>
      </w:pPr>
      <w:r>
        <w:br w:type="page"/>
      </w:r>
    </w:p>
    <w:p w:rsidR="009A32DF" w:rsidRDefault="009A32DF" w:rsidP="005A1698">
      <w:pPr>
        <w:pStyle w:val="Heading2"/>
      </w:pPr>
      <w:bookmarkStart w:id="3" w:name="_Toc518039348"/>
      <w:r w:rsidRPr="00BB7726">
        <w:lastRenderedPageBreak/>
        <w:t xml:space="preserve">Part </w:t>
      </w:r>
      <w:r w:rsidR="002D53BA">
        <w:t>B</w:t>
      </w:r>
      <w:r w:rsidRPr="00BB7726">
        <w:t xml:space="preserve">: </w:t>
      </w:r>
      <w:r>
        <w:t>Comparison of Different Model-based Clustering Methods</w:t>
      </w:r>
    </w:p>
    <w:p w:rsidR="009A32DF" w:rsidRPr="000E2B02" w:rsidRDefault="009249B3" w:rsidP="009A32DF">
      <w:pPr>
        <w:pStyle w:val="NoSpacing"/>
        <w:rPr>
          <w:color w:val="2F5496" w:themeColor="accent1" w:themeShade="BF"/>
        </w:rPr>
      </w:pPr>
      <w:r>
        <w:rPr>
          <w:color w:val="2F5496" w:themeColor="accent1" w:themeShade="BF"/>
        </w:rPr>
        <w:t>Additional file 1</w:t>
      </w:r>
      <w:r w:rsidR="009A32DF" w:rsidRPr="000E2B02">
        <w:rPr>
          <w:color w:val="2F5496" w:themeColor="accent1" w:themeShade="BF"/>
        </w:rPr>
        <w:t xml:space="preserve"> Figure 2: Comparison of different model-based clustering based on BIC criteria</w:t>
      </w:r>
    </w:p>
    <w:p w:rsidR="009A32DF" w:rsidRDefault="009A32DF" w:rsidP="009A32DF">
      <w:pPr>
        <w:jc w:val="center"/>
        <w:rPr>
          <w:rFonts w:ascii="Arial" w:hAnsi="Arial" w:cs="Arial"/>
          <w:color w:val="000000"/>
          <w:sz w:val="20"/>
          <w:szCs w:val="20"/>
        </w:rPr>
      </w:pPr>
      <w:r w:rsidRPr="00127003">
        <w:rPr>
          <w:noProof/>
          <w:lang w:bidi="ar-SA"/>
        </w:rPr>
        <w:drawing>
          <wp:inline distT="0" distB="0" distL="0" distR="0" wp14:anchorId="2DE9F766" wp14:editId="03C4DEAF">
            <wp:extent cx="5055172" cy="320575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57161" cy="3207013"/>
                    </a:xfrm>
                    <a:prstGeom prst="rect">
                      <a:avLst/>
                    </a:prstGeom>
                    <a:noFill/>
                    <a:ln>
                      <a:noFill/>
                    </a:ln>
                  </pic:spPr>
                </pic:pic>
              </a:graphicData>
            </a:graphic>
          </wp:inline>
        </w:drawing>
      </w:r>
    </w:p>
    <w:p w:rsidR="009A32DF" w:rsidRPr="00CA486A" w:rsidRDefault="009A32DF" w:rsidP="009A32DF">
      <w:pPr>
        <w:tabs>
          <w:tab w:val="left" w:pos="7650"/>
        </w:tabs>
        <w:autoSpaceDE w:val="0"/>
        <w:autoSpaceDN w:val="0"/>
        <w:adjustRightInd w:val="0"/>
        <w:spacing w:line="240" w:lineRule="auto"/>
        <w:jc w:val="center"/>
        <w:rPr>
          <w:rFonts w:cs="Times New Roman"/>
          <w:sz w:val="20"/>
          <w:szCs w:val="20"/>
          <w:lang w:bidi="ar-SA"/>
        </w:rPr>
      </w:pPr>
      <w:r w:rsidRPr="00CA486A">
        <w:rPr>
          <w:rFonts w:cs="Times New Roman"/>
          <w:sz w:val="20"/>
          <w:szCs w:val="20"/>
          <w:lang w:bidi="ar-SA"/>
        </w:rPr>
        <w:t>Note:</w:t>
      </w:r>
      <w:r>
        <w:rPr>
          <w:rFonts w:cs="Times New Roman"/>
          <w:sz w:val="20"/>
          <w:szCs w:val="20"/>
          <w:lang w:bidi="ar-SA"/>
        </w:rPr>
        <w:t xml:space="preserve"> </w:t>
      </w:r>
      <w:r w:rsidRPr="00CA486A">
        <w:rPr>
          <w:rFonts w:cs="Times New Roman"/>
          <w:sz w:val="20"/>
          <w:szCs w:val="20"/>
          <w:lang w:bidi="ar-SA"/>
        </w:rPr>
        <w:t xml:space="preserve">Parameterizations of the covariance matrix </w:t>
      </w:r>
      <m:oMath>
        <m:sSub>
          <m:sSubPr>
            <m:ctrlPr>
              <w:rPr>
                <w:rFonts w:ascii="Cambria Math" w:hAnsi="Cambria Math" w:cs="Times New Roman"/>
                <w:i/>
                <w:sz w:val="20"/>
                <w:szCs w:val="20"/>
                <w:lang w:bidi="ar-SA"/>
              </w:rPr>
            </m:ctrlPr>
          </m:sSubPr>
          <m:e>
            <m:r>
              <m:rPr>
                <m:sty m:val="p"/>
              </m:rPr>
              <w:rPr>
                <w:rFonts w:ascii="Cambria Math" w:hAnsi="Cambria Math" w:cs="Times New Roman"/>
                <w:sz w:val="20"/>
                <w:szCs w:val="20"/>
                <w:lang w:bidi="ar-SA"/>
              </w:rPr>
              <m:t>Σ</m:t>
            </m:r>
          </m:e>
          <m:sub>
            <m:r>
              <w:rPr>
                <w:rFonts w:ascii="Cambria Math" w:hAnsi="Cambria Math" w:cs="Times New Roman"/>
                <w:sz w:val="20"/>
                <w:szCs w:val="20"/>
                <w:lang w:bidi="ar-SA"/>
              </w:rPr>
              <m:t>k</m:t>
            </m:r>
          </m:sub>
        </m:sSub>
      </m:oMath>
      <w:r w:rsidRPr="00CA486A">
        <w:rPr>
          <w:rFonts w:cs="Times New Roman"/>
          <w:sz w:val="20"/>
          <w:szCs w:val="20"/>
          <w:lang w:bidi="ar-SA"/>
        </w:rPr>
        <w:t>currently available in mclust</w:t>
      </w:r>
      <w:r>
        <w:rPr>
          <w:rFonts w:cs="Times New Roman"/>
          <w:sz w:val="20"/>
          <w:szCs w:val="20"/>
          <w:lang w:bidi="ar-SA"/>
        </w:rPr>
        <w:t xml:space="preserve"> </w:t>
      </w:r>
      <w:r>
        <w:rPr>
          <w:rFonts w:cs="Times New Roman"/>
          <w:sz w:val="20"/>
          <w:szCs w:val="20"/>
          <w:lang w:bidi="ar-SA"/>
        </w:rPr>
        <w:fldChar w:fldCharType="begin"/>
      </w:r>
      <w:r>
        <w:rPr>
          <w:rFonts w:cs="Times New Roman"/>
          <w:sz w:val="20"/>
          <w:szCs w:val="20"/>
          <w:lang w:bidi="ar-SA"/>
        </w:rPr>
        <w:instrText xml:space="preserve"> ADDIN EN.CITE &lt;EndNote&gt;&lt;Cite&gt;&lt;Author&gt;Fraley&lt;/Author&gt;&lt;Year&gt;2014&lt;/Year&gt;&lt;RecNum&gt;42&lt;/RecNum&gt;&lt;DisplayText&gt;&lt;style face="superscript"&gt;28&lt;/style&gt;&lt;/DisplayText&gt;&lt;record&gt;&lt;rec-number&gt;42&lt;/rec-number&gt;&lt;foreign-keys&gt;&lt;key app="EN" db-id="xewa9dtr3asp9iepeazxvf9yvzzfxav5txae" timestamp="1542532182"&gt;42&lt;/key&gt;&lt;/foreign-keys&gt;&lt;ref-type name="Journal Article"&gt;17&lt;/ref-type&gt;&lt;contributors&gt;&lt;authors&gt;&lt;author&gt;Fraley, C&lt;/author&gt;&lt;author&gt;Raftery, AE&lt;/author&gt;&lt;author&gt;Murphy, TB&lt;/author&gt;&lt;author&gt;Scrucca, L&lt;/author&gt;&lt;/authors&gt;&lt;/contributors&gt;&lt;titles&gt;&lt;title&gt;Mclust Version 4 for R: Normal Mixture Modeling for Model-Based Clustering, Classification, and Density Estimation (Department of Statistics, University of Washington, 2012)&lt;/title&gt;&lt;secondary-title&gt;Google Scholar&lt;/secondary-title&gt;&lt;/titles&gt;&lt;periodical&gt;&lt;full-title&gt;Google Scholar&lt;/full-title&gt;&lt;/periodical&gt;&lt;dates&gt;&lt;year&gt;2014&lt;/year&gt;&lt;/dates&gt;&lt;urls&gt;&lt;/urls&gt;&lt;/record&gt;&lt;/Cite&gt;&lt;/EndNote&gt;</w:instrText>
      </w:r>
      <w:r>
        <w:rPr>
          <w:rFonts w:cs="Times New Roman"/>
          <w:sz w:val="20"/>
          <w:szCs w:val="20"/>
          <w:lang w:bidi="ar-SA"/>
        </w:rPr>
        <w:fldChar w:fldCharType="separate"/>
      </w:r>
      <w:r w:rsidRPr="005952D9">
        <w:rPr>
          <w:rFonts w:cs="Times New Roman"/>
          <w:noProof/>
          <w:sz w:val="20"/>
          <w:szCs w:val="20"/>
          <w:vertAlign w:val="superscript"/>
          <w:lang w:bidi="ar-SA"/>
        </w:rPr>
        <w:t>28</w:t>
      </w:r>
      <w:r>
        <w:rPr>
          <w:rFonts w:cs="Times New Roman"/>
          <w:sz w:val="20"/>
          <w:szCs w:val="20"/>
          <w:lang w:bidi="ar-SA"/>
        </w:rPr>
        <w:fldChar w:fldCharType="end"/>
      </w:r>
    </w:p>
    <w:p w:rsidR="009A32DF" w:rsidRDefault="009A32DF" w:rsidP="009A32DF">
      <w:pPr>
        <w:autoSpaceDE w:val="0"/>
        <w:autoSpaceDN w:val="0"/>
        <w:adjustRightInd w:val="0"/>
        <w:spacing w:line="240" w:lineRule="auto"/>
        <w:jc w:val="left"/>
        <w:rPr>
          <w:rFonts w:ascii="CMR10" w:hAnsi="CMR10" w:cs="CMR10"/>
          <w:sz w:val="20"/>
          <w:szCs w:val="20"/>
          <w:lang w:bidi="ar-SA"/>
        </w:rPr>
      </w:pPr>
    </w:p>
    <w:tbl>
      <w:tblPr>
        <w:tblStyle w:val="TableGrid"/>
        <w:tblW w:w="0" w:type="auto"/>
        <w:jc w:val="center"/>
        <w:tblLook w:val="04A0" w:firstRow="1" w:lastRow="0" w:firstColumn="1" w:lastColumn="0" w:noHBand="0" w:noVBand="1"/>
      </w:tblPr>
      <w:tblGrid>
        <w:gridCol w:w="1168"/>
        <w:gridCol w:w="1183"/>
        <w:gridCol w:w="1167"/>
        <w:gridCol w:w="1166"/>
        <w:gridCol w:w="2076"/>
      </w:tblGrid>
      <w:tr w:rsidR="009A32DF" w:rsidRPr="00CA486A" w:rsidTr="00896597">
        <w:trPr>
          <w:jc w:val="center"/>
        </w:trPr>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Identifier</w:t>
            </w:r>
          </w:p>
        </w:tc>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Pr>
                <w:rFonts w:cs="Times New Roman"/>
                <w:color w:val="000000"/>
                <w:sz w:val="20"/>
                <w:szCs w:val="20"/>
              </w:rPr>
              <w:t xml:space="preserve">Distribution </w:t>
            </w:r>
          </w:p>
        </w:tc>
        <w:tc>
          <w:tcPr>
            <w:tcW w:w="1167"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 xml:space="preserve">Volume </w:t>
            </w:r>
          </w:p>
        </w:tc>
        <w:tc>
          <w:tcPr>
            <w:tcW w:w="116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 xml:space="preserve">Shape </w:t>
            </w:r>
          </w:p>
        </w:tc>
        <w:tc>
          <w:tcPr>
            <w:tcW w:w="207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Orientation</w:t>
            </w:r>
          </w:p>
        </w:tc>
      </w:tr>
      <w:tr w:rsidR="009A32DF" w:rsidRPr="00CA486A" w:rsidTr="00896597">
        <w:trPr>
          <w:jc w:val="center"/>
        </w:trPr>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EII</w:t>
            </w:r>
          </w:p>
        </w:tc>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 xml:space="preserve">Spherical </w:t>
            </w:r>
          </w:p>
        </w:tc>
        <w:tc>
          <w:tcPr>
            <w:tcW w:w="1167"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 xml:space="preserve">Equal </w:t>
            </w:r>
          </w:p>
        </w:tc>
        <w:tc>
          <w:tcPr>
            <w:tcW w:w="116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c>
          <w:tcPr>
            <w:tcW w:w="207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NA</w:t>
            </w:r>
          </w:p>
        </w:tc>
      </w:tr>
      <w:tr w:rsidR="009A32DF" w:rsidRPr="00CA486A" w:rsidTr="00896597">
        <w:trPr>
          <w:jc w:val="center"/>
        </w:trPr>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VII</w:t>
            </w:r>
          </w:p>
        </w:tc>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Spherical</w:t>
            </w:r>
          </w:p>
        </w:tc>
        <w:tc>
          <w:tcPr>
            <w:tcW w:w="1167"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 xml:space="preserve">Variable </w:t>
            </w:r>
          </w:p>
        </w:tc>
        <w:tc>
          <w:tcPr>
            <w:tcW w:w="116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c>
          <w:tcPr>
            <w:tcW w:w="207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NA</w:t>
            </w:r>
          </w:p>
        </w:tc>
      </w:tr>
      <w:tr w:rsidR="009A32DF" w:rsidRPr="00CA486A" w:rsidTr="00896597">
        <w:trPr>
          <w:jc w:val="center"/>
        </w:trPr>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EEI</w:t>
            </w:r>
          </w:p>
        </w:tc>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 xml:space="preserve">Diagonal </w:t>
            </w:r>
          </w:p>
        </w:tc>
        <w:tc>
          <w:tcPr>
            <w:tcW w:w="1167"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c>
          <w:tcPr>
            <w:tcW w:w="116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c>
          <w:tcPr>
            <w:tcW w:w="207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Coordinate axes</w:t>
            </w:r>
          </w:p>
        </w:tc>
      </w:tr>
      <w:tr w:rsidR="009A32DF" w:rsidRPr="00CA486A" w:rsidTr="00896597">
        <w:trPr>
          <w:jc w:val="center"/>
        </w:trPr>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VEI</w:t>
            </w:r>
          </w:p>
        </w:tc>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 xml:space="preserve">Diagonal </w:t>
            </w:r>
          </w:p>
        </w:tc>
        <w:tc>
          <w:tcPr>
            <w:tcW w:w="1167"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Variable</w:t>
            </w:r>
          </w:p>
        </w:tc>
        <w:tc>
          <w:tcPr>
            <w:tcW w:w="116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c>
          <w:tcPr>
            <w:tcW w:w="207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Coordinate axes</w:t>
            </w:r>
          </w:p>
        </w:tc>
      </w:tr>
      <w:tr w:rsidR="009A32DF" w:rsidRPr="00CA486A" w:rsidTr="00896597">
        <w:trPr>
          <w:jc w:val="center"/>
        </w:trPr>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EVI</w:t>
            </w:r>
          </w:p>
        </w:tc>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 xml:space="preserve">Diagonal </w:t>
            </w:r>
          </w:p>
        </w:tc>
        <w:tc>
          <w:tcPr>
            <w:tcW w:w="1167"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c>
          <w:tcPr>
            <w:tcW w:w="116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Variable</w:t>
            </w:r>
          </w:p>
        </w:tc>
        <w:tc>
          <w:tcPr>
            <w:tcW w:w="207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Coordinate axes</w:t>
            </w:r>
          </w:p>
        </w:tc>
      </w:tr>
      <w:tr w:rsidR="009A32DF" w:rsidRPr="00CA486A" w:rsidTr="00896597">
        <w:trPr>
          <w:jc w:val="center"/>
        </w:trPr>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VVI</w:t>
            </w:r>
          </w:p>
        </w:tc>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Diagonal</w:t>
            </w:r>
          </w:p>
        </w:tc>
        <w:tc>
          <w:tcPr>
            <w:tcW w:w="1167"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Variable</w:t>
            </w:r>
          </w:p>
        </w:tc>
        <w:tc>
          <w:tcPr>
            <w:tcW w:w="116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Variable</w:t>
            </w:r>
          </w:p>
        </w:tc>
        <w:tc>
          <w:tcPr>
            <w:tcW w:w="207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Coordinate axes</w:t>
            </w:r>
          </w:p>
        </w:tc>
      </w:tr>
      <w:tr w:rsidR="009A32DF" w:rsidRPr="00CA486A" w:rsidTr="00896597">
        <w:trPr>
          <w:jc w:val="center"/>
        </w:trPr>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EEE</w:t>
            </w:r>
          </w:p>
        </w:tc>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Ellipsoidal</w:t>
            </w:r>
          </w:p>
        </w:tc>
        <w:tc>
          <w:tcPr>
            <w:tcW w:w="1167"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c>
          <w:tcPr>
            <w:tcW w:w="116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c>
          <w:tcPr>
            <w:tcW w:w="207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r>
      <w:tr w:rsidR="009A32DF" w:rsidRPr="00CA486A" w:rsidTr="00896597">
        <w:trPr>
          <w:jc w:val="center"/>
        </w:trPr>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EEV</w:t>
            </w:r>
          </w:p>
        </w:tc>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Ellipsoidal</w:t>
            </w:r>
          </w:p>
        </w:tc>
        <w:tc>
          <w:tcPr>
            <w:tcW w:w="1167"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c>
          <w:tcPr>
            <w:tcW w:w="116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c>
          <w:tcPr>
            <w:tcW w:w="207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Variable</w:t>
            </w:r>
          </w:p>
        </w:tc>
      </w:tr>
      <w:tr w:rsidR="009A32DF" w:rsidRPr="00CA486A" w:rsidTr="00896597">
        <w:trPr>
          <w:jc w:val="center"/>
        </w:trPr>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VEV</w:t>
            </w:r>
          </w:p>
        </w:tc>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Ellipsoidal</w:t>
            </w:r>
          </w:p>
        </w:tc>
        <w:tc>
          <w:tcPr>
            <w:tcW w:w="1167"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Variable</w:t>
            </w:r>
          </w:p>
        </w:tc>
        <w:tc>
          <w:tcPr>
            <w:tcW w:w="116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Equal</w:t>
            </w:r>
          </w:p>
        </w:tc>
        <w:tc>
          <w:tcPr>
            <w:tcW w:w="207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Variable</w:t>
            </w:r>
          </w:p>
        </w:tc>
      </w:tr>
      <w:tr w:rsidR="009A32DF" w:rsidRPr="00CA486A" w:rsidTr="00896597">
        <w:trPr>
          <w:jc w:val="center"/>
        </w:trPr>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VVV</w:t>
            </w:r>
          </w:p>
        </w:tc>
        <w:tc>
          <w:tcPr>
            <w:tcW w:w="1168"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Ellipsoidal</w:t>
            </w:r>
          </w:p>
        </w:tc>
        <w:tc>
          <w:tcPr>
            <w:tcW w:w="1167"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Variable</w:t>
            </w:r>
          </w:p>
        </w:tc>
        <w:tc>
          <w:tcPr>
            <w:tcW w:w="116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Variable</w:t>
            </w:r>
          </w:p>
        </w:tc>
        <w:tc>
          <w:tcPr>
            <w:tcW w:w="2076" w:type="dxa"/>
          </w:tcPr>
          <w:p w:rsidR="009A32DF" w:rsidRPr="00CA486A" w:rsidRDefault="009A32DF" w:rsidP="00896597">
            <w:pPr>
              <w:autoSpaceDE w:val="0"/>
              <w:autoSpaceDN w:val="0"/>
              <w:adjustRightInd w:val="0"/>
              <w:spacing w:line="240" w:lineRule="auto"/>
              <w:jc w:val="left"/>
              <w:rPr>
                <w:rFonts w:cs="Times New Roman"/>
                <w:color w:val="000000"/>
                <w:sz w:val="20"/>
                <w:szCs w:val="20"/>
              </w:rPr>
            </w:pPr>
            <w:r w:rsidRPr="00CA486A">
              <w:rPr>
                <w:rFonts w:cs="Times New Roman"/>
                <w:color w:val="000000"/>
                <w:sz w:val="20"/>
                <w:szCs w:val="20"/>
              </w:rPr>
              <w:t>Variable</w:t>
            </w:r>
          </w:p>
        </w:tc>
      </w:tr>
    </w:tbl>
    <w:p w:rsidR="009A32DF" w:rsidRDefault="009A32DF" w:rsidP="009A32DF">
      <w:pPr>
        <w:rPr>
          <w:rFonts w:ascii="Arial" w:hAnsi="Arial" w:cs="Arial"/>
          <w:color w:val="000000"/>
          <w:sz w:val="20"/>
          <w:szCs w:val="20"/>
        </w:rPr>
      </w:pPr>
    </w:p>
    <w:bookmarkEnd w:id="3"/>
    <w:p w:rsidR="005E1A29" w:rsidRDefault="000D4F77"/>
    <w:p w:rsidR="00A65DE5" w:rsidRDefault="00A65DE5"/>
    <w:p w:rsidR="00A65DE5" w:rsidRDefault="00A65DE5"/>
    <w:p w:rsidR="00A65DE5" w:rsidRDefault="00A65DE5"/>
    <w:p w:rsidR="00A65DE5" w:rsidRDefault="00A65DE5"/>
    <w:p w:rsidR="00A65DE5" w:rsidRDefault="00A65DE5"/>
    <w:p w:rsidR="005A1698" w:rsidRPr="00BF39FE" w:rsidRDefault="002D53BA" w:rsidP="005A1698">
      <w:pPr>
        <w:pStyle w:val="Heading2"/>
        <w:spacing w:line="480" w:lineRule="auto"/>
      </w:pPr>
      <w:r>
        <w:lastRenderedPageBreak/>
        <w:t>Part C</w:t>
      </w:r>
      <w:r w:rsidR="005A1698" w:rsidRPr="00BF39FE">
        <w:t xml:space="preserve">: </w:t>
      </w:r>
      <w:r w:rsidR="005A1698">
        <w:t xml:space="preserve">Clustering Results at Province Level </w:t>
      </w:r>
    </w:p>
    <w:p w:rsidR="005A1698" w:rsidRDefault="005A1698" w:rsidP="00A65DE5">
      <w:pPr>
        <w:spacing w:line="480" w:lineRule="auto"/>
      </w:pPr>
      <w:r w:rsidRPr="006F4A27">
        <w:t xml:space="preserve">Since the input data is at </w:t>
      </w:r>
      <w:r w:rsidRPr="008B0E03">
        <w:t>t</w:t>
      </w:r>
      <w:r w:rsidRPr="0052275C">
        <w:t xml:space="preserve">he </w:t>
      </w:r>
      <w:r w:rsidRPr="0052275C">
        <w:rPr>
          <w:noProof/>
        </w:rPr>
        <w:t>district</w:t>
      </w:r>
      <w:r w:rsidRPr="0052275C">
        <w:t xml:space="preserve"> level, MCM assigns districts into clusters. To generalize the clustering result at province level, we assigned province to a cluster that the </w:t>
      </w:r>
      <w:r w:rsidRPr="0052275C">
        <w:rPr>
          <w:noProof/>
        </w:rPr>
        <w:t>majority</w:t>
      </w:r>
      <w:r w:rsidRPr="0052275C">
        <w:t xml:space="preserve"> of its districts (as also weighted by population size) fall into that cluster. To select one province from each cluster, we calculated the distance of each province from other provinces in the same cluster and selected the province with minimum distance from other provinces. This selection helps us to include a province which is a better</w:t>
      </w:r>
      <w:r w:rsidRPr="006F4A27">
        <w:t xml:space="preserve"> representation of each cluster. The geographic distribution of MCM-8 at province level </w:t>
      </w:r>
      <w:r>
        <w:t xml:space="preserve">and the name of selected provinces </w:t>
      </w:r>
      <w:r w:rsidRPr="006F4A27">
        <w:t xml:space="preserve">are </w:t>
      </w:r>
      <w:r>
        <w:t xml:space="preserve">presented </w:t>
      </w:r>
      <w:r w:rsidRPr="006F4A27">
        <w:t xml:space="preserve">in </w:t>
      </w:r>
      <w:r w:rsidR="009249B3">
        <w:t>Additional file 1</w:t>
      </w:r>
      <w:r>
        <w:t xml:space="preserve"> </w:t>
      </w:r>
      <w:r w:rsidRPr="006F4A27">
        <w:t xml:space="preserve">Figure </w:t>
      </w:r>
      <w:r>
        <w:t xml:space="preserve">1 and </w:t>
      </w:r>
      <w:r w:rsidR="009249B3">
        <w:t>Additional file 1</w:t>
      </w:r>
      <w:r>
        <w:t xml:space="preserve"> Table 1 respectively</w:t>
      </w:r>
      <w:r w:rsidRPr="006F4A27">
        <w:t xml:space="preserve">. </w:t>
      </w:r>
    </w:p>
    <w:p w:rsidR="005A1698" w:rsidRDefault="005A1698" w:rsidP="005A1698">
      <w:pPr>
        <w:jc w:val="center"/>
      </w:pPr>
      <w:r w:rsidRPr="00B375BC">
        <w:rPr>
          <w:noProof/>
          <w:lang w:bidi="ar-SA"/>
        </w:rPr>
        <w:drawing>
          <wp:inline distT="0" distB="0" distL="0" distR="0" wp14:anchorId="38372E35" wp14:editId="37F487C3">
            <wp:extent cx="4505325" cy="380019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05325" cy="3800191"/>
                    </a:xfrm>
                    <a:prstGeom prst="rect">
                      <a:avLst/>
                    </a:prstGeom>
                    <a:noFill/>
                    <a:ln>
                      <a:noFill/>
                    </a:ln>
                  </pic:spPr>
                </pic:pic>
              </a:graphicData>
            </a:graphic>
          </wp:inline>
        </w:drawing>
      </w:r>
    </w:p>
    <w:p w:rsidR="005A1698" w:rsidRDefault="005A1698" w:rsidP="005A1698">
      <w:pPr>
        <w:pStyle w:val="NoSpacing"/>
        <w:rPr>
          <w:color w:val="2F5496" w:themeColor="accent1" w:themeShade="BF"/>
        </w:rPr>
      </w:pPr>
      <w:r w:rsidRPr="000E2B02">
        <w:rPr>
          <w:color w:val="2F5496" w:themeColor="accent1" w:themeShade="BF"/>
        </w:rPr>
        <w:t>Figure 1: Geographic distribution of MCM-8 at the province level</w:t>
      </w:r>
    </w:p>
    <w:p w:rsidR="005A1698" w:rsidRDefault="005A1698" w:rsidP="005A1698">
      <w:pPr>
        <w:pStyle w:val="NoSpacing"/>
        <w:jc w:val="left"/>
      </w:pPr>
      <w:r w:rsidRPr="0052275C">
        <w:rPr>
          <w:color w:val="2F5496" w:themeColor="accent1" w:themeShade="BF"/>
          <w:sz w:val="18"/>
          <w:szCs w:val="18"/>
        </w:rPr>
        <w:t xml:space="preserve">Note: </w:t>
      </w:r>
      <w:r w:rsidRPr="0052275C">
        <w:rPr>
          <w:sz w:val="18"/>
          <w:szCs w:val="18"/>
        </w:rPr>
        <w:t>Markazi(MK), Gilan(GI), Mazandaran(MN), Azerbaijan-East(EA), Azerbaijan-West(WA), Kermanshah (BK), Khuzestan(KZ), Fars(FA), Kerman(KE), Khorasan-Razavi(KR), Isfahan(ES), Sistan-and-Baluchestan(SB), Kurdistan(KD), Hamedan(HD), Chahar-Mahal-Bakhtiari(CM), Lorestan(LO), Ilam(IL), Kohkiluyeh-and-Boyer-Ahmad(KB), BS(Bushehr), Zanjan(ZA), Semnan(SM), Yazd(YA), Hormozgan(HG), Tehran(TE), AR(Ardebil), Qom(QM), Qazvin(QZ), Golestan(GO), Khorasan</w:t>
      </w:r>
      <w:r w:rsidRPr="0052275C" w:rsidDel="007946B4">
        <w:rPr>
          <w:sz w:val="18"/>
          <w:szCs w:val="18"/>
        </w:rPr>
        <w:t xml:space="preserve"> </w:t>
      </w:r>
      <w:r w:rsidRPr="0052275C">
        <w:rPr>
          <w:sz w:val="18"/>
          <w:szCs w:val="18"/>
        </w:rPr>
        <w:t>-North(KN), Khorasan-South(KS), Alborz(AL)</w:t>
      </w:r>
    </w:p>
    <w:p w:rsidR="005A1698" w:rsidRPr="000E2B02" w:rsidRDefault="005A1698" w:rsidP="005A1698">
      <w:pPr>
        <w:pStyle w:val="NoSpacing"/>
        <w:jc w:val="left"/>
        <w:rPr>
          <w:color w:val="2F5496" w:themeColor="accent1" w:themeShade="BF"/>
        </w:rPr>
      </w:pPr>
      <w:r w:rsidRPr="000E2B02">
        <w:rPr>
          <w:color w:val="2F5496" w:themeColor="accent1" w:themeShade="BF"/>
        </w:rPr>
        <w:lastRenderedPageBreak/>
        <w:t xml:space="preserve">Table 1: List of selected provinces by the proposed sampling method  </w:t>
      </w:r>
    </w:p>
    <w:tbl>
      <w:tblPr>
        <w:tblStyle w:val="TableGrid"/>
        <w:tblW w:w="0" w:type="auto"/>
        <w:tblLook w:val="04A0" w:firstRow="1" w:lastRow="0" w:firstColumn="1" w:lastColumn="0" w:noHBand="0" w:noVBand="1"/>
      </w:tblPr>
      <w:tblGrid>
        <w:gridCol w:w="1075"/>
        <w:gridCol w:w="5158"/>
        <w:gridCol w:w="3117"/>
      </w:tblGrid>
      <w:tr w:rsidR="005A1698" w:rsidRPr="00DB44FE" w:rsidTr="00E818A4">
        <w:tc>
          <w:tcPr>
            <w:tcW w:w="1075" w:type="dxa"/>
            <w:shd w:val="clear" w:color="auto" w:fill="auto"/>
          </w:tcPr>
          <w:p w:rsidR="005A1698" w:rsidRPr="00DB44FE" w:rsidRDefault="005A1698" w:rsidP="00E818A4">
            <w:pPr>
              <w:rPr>
                <w:sz w:val="18"/>
                <w:szCs w:val="18"/>
              </w:rPr>
            </w:pPr>
            <w:r w:rsidRPr="00DB44FE">
              <w:rPr>
                <w:sz w:val="18"/>
                <w:szCs w:val="18"/>
              </w:rPr>
              <w:t>Cluster number</w:t>
            </w:r>
          </w:p>
        </w:tc>
        <w:tc>
          <w:tcPr>
            <w:tcW w:w="5158" w:type="dxa"/>
          </w:tcPr>
          <w:p w:rsidR="005A1698" w:rsidRPr="00DB44FE" w:rsidRDefault="005A1698" w:rsidP="00E818A4">
            <w:pPr>
              <w:rPr>
                <w:sz w:val="18"/>
                <w:szCs w:val="18"/>
              </w:rPr>
            </w:pPr>
            <w:r w:rsidRPr="00DB44FE">
              <w:rPr>
                <w:sz w:val="18"/>
                <w:szCs w:val="18"/>
              </w:rPr>
              <w:t xml:space="preserve">List of provinces within each cluster </w:t>
            </w:r>
          </w:p>
        </w:tc>
        <w:tc>
          <w:tcPr>
            <w:tcW w:w="3117" w:type="dxa"/>
          </w:tcPr>
          <w:p w:rsidR="005A1698" w:rsidRPr="00DB44FE" w:rsidRDefault="005A1698" w:rsidP="00E818A4">
            <w:pPr>
              <w:rPr>
                <w:sz w:val="18"/>
                <w:szCs w:val="18"/>
              </w:rPr>
            </w:pPr>
            <w:r w:rsidRPr="00DB44FE">
              <w:rPr>
                <w:sz w:val="18"/>
                <w:szCs w:val="18"/>
              </w:rPr>
              <w:t xml:space="preserve">Name of selected province </w:t>
            </w:r>
          </w:p>
        </w:tc>
      </w:tr>
      <w:tr w:rsidR="005A1698" w:rsidRPr="00DB44FE" w:rsidTr="00E818A4">
        <w:tc>
          <w:tcPr>
            <w:tcW w:w="1075" w:type="dxa"/>
            <w:shd w:val="clear" w:color="auto" w:fill="auto"/>
          </w:tcPr>
          <w:p w:rsidR="005A1698" w:rsidRPr="00DB44FE" w:rsidRDefault="005A1698" w:rsidP="00E818A4">
            <w:pPr>
              <w:rPr>
                <w:sz w:val="18"/>
                <w:szCs w:val="18"/>
              </w:rPr>
            </w:pPr>
            <w:r w:rsidRPr="00DB44FE">
              <w:rPr>
                <w:sz w:val="18"/>
                <w:szCs w:val="18"/>
              </w:rPr>
              <w:t>1</w:t>
            </w:r>
          </w:p>
        </w:tc>
        <w:tc>
          <w:tcPr>
            <w:tcW w:w="5158" w:type="dxa"/>
          </w:tcPr>
          <w:p w:rsidR="005A1698" w:rsidRPr="00DB44FE" w:rsidRDefault="005A1698" w:rsidP="00E818A4">
            <w:pPr>
              <w:rPr>
                <w:sz w:val="18"/>
                <w:szCs w:val="18"/>
              </w:rPr>
            </w:pPr>
            <w:r w:rsidRPr="00DB44FE">
              <w:rPr>
                <w:sz w:val="18"/>
                <w:szCs w:val="18"/>
              </w:rPr>
              <w:t xml:space="preserve">Markazi, Qazvin, and </w:t>
            </w:r>
            <w:r w:rsidRPr="00DB44FE">
              <w:rPr>
                <w:color w:val="222222"/>
                <w:sz w:val="18"/>
                <w:szCs w:val="18"/>
                <w:shd w:val="clear" w:color="auto" w:fill="FFFFFF"/>
              </w:rPr>
              <w:t>Hormozgan</w:t>
            </w:r>
          </w:p>
        </w:tc>
        <w:tc>
          <w:tcPr>
            <w:tcW w:w="3117" w:type="dxa"/>
          </w:tcPr>
          <w:p w:rsidR="005A1698" w:rsidRPr="00DB44FE" w:rsidRDefault="005A1698" w:rsidP="00E818A4">
            <w:pPr>
              <w:rPr>
                <w:sz w:val="18"/>
                <w:szCs w:val="18"/>
              </w:rPr>
            </w:pPr>
            <w:r w:rsidRPr="00DB44FE">
              <w:rPr>
                <w:sz w:val="18"/>
                <w:szCs w:val="18"/>
              </w:rPr>
              <w:t xml:space="preserve">Qazvin </w:t>
            </w:r>
          </w:p>
        </w:tc>
      </w:tr>
      <w:tr w:rsidR="005A1698" w:rsidRPr="00DB44FE" w:rsidTr="00E818A4">
        <w:tc>
          <w:tcPr>
            <w:tcW w:w="1075" w:type="dxa"/>
            <w:shd w:val="clear" w:color="auto" w:fill="auto"/>
          </w:tcPr>
          <w:p w:rsidR="005A1698" w:rsidRPr="00DB44FE" w:rsidRDefault="005A1698" w:rsidP="00E818A4">
            <w:pPr>
              <w:rPr>
                <w:sz w:val="18"/>
                <w:szCs w:val="18"/>
              </w:rPr>
            </w:pPr>
            <w:r w:rsidRPr="00DB44FE">
              <w:rPr>
                <w:sz w:val="18"/>
                <w:szCs w:val="18"/>
              </w:rPr>
              <w:t>2</w:t>
            </w:r>
          </w:p>
        </w:tc>
        <w:tc>
          <w:tcPr>
            <w:tcW w:w="5158" w:type="dxa"/>
          </w:tcPr>
          <w:p w:rsidR="005A1698" w:rsidRPr="00DB44FE" w:rsidRDefault="005A1698" w:rsidP="00E818A4">
            <w:pPr>
              <w:rPr>
                <w:sz w:val="18"/>
                <w:szCs w:val="18"/>
              </w:rPr>
            </w:pPr>
            <w:r w:rsidRPr="00DB44FE">
              <w:rPr>
                <w:sz w:val="18"/>
                <w:szCs w:val="18"/>
              </w:rPr>
              <w:t xml:space="preserve">Gilan, Mazandaran, Kermanshah, Isfahan, Hamedan, Alborz </w:t>
            </w:r>
          </w:p>
        </w:tc>
        <w:tc>
          <w:tcPr>
            <w:tcW w:w="3117" w:type="dxa"/>
          </w:tcPr>
          <w:p w:rsidR="005A1698" w:rsidRPr="00DB44FE" w:rsidRDefault="005A1698" w:rsidP="00E818A4">
            <w:pPr>
              <w:rPr>
                <w:sz w:val="18"/>
                <w:szCs w:val="18"/>
              </w:rPr>
            </w:pPr>
            <w:r w:rsidRPr="00DB44FE">
              <w:rPr>
                <w:sz w:val="18"/>
                <w:szCs w:val="18"/>
              </w:rPr>
              <w:t>Gilan</w:t>
            </w:r>
          </w:p>
        </w:tc>
      </w:tr>
      <w:tr w:rsidR="005A1698" w:rsidRPr="00DB44FE" w:rsidTr="00E818A4">
        <w:tc>
          <w:tcPr>
            <w:tcW w:w="1075" w:type="dxa"/>
            <w:shd w:val="clear" w:color="auto" w:fill="auto"/>
          </w:tcPr>
          <w:p w:rsidR="005A1698" w:rsidRPr="00DB44FE" w:rsidRDefault="005A1698" w:rsidP="00E818A4">
            <w:pPr>
              <w:rPr>
                <w:sz w:val="18"/>
                <w:szCs w:val="18"/>
              </w:rPr>
            </w:pPr>
            <w:r w:rsidRPr="00DB44FE">
              <w:rPr>
                <w:sz w:val="18"/>
                <w:szCs w:val="18"/>
              </w:rPr>
              <w:t>3</w:t>
            </w:r>
          </w:p>
        </w:tc>
        <w:tc>
          <w:tcPr>
            <w:tcW w:w="5158" w:type="dxa"/>
          </w:tcPr>
          <w:p w:rsidR="005A1698" w:rsidRPr="00DB44FE" w:rsidRDefault="005A1698" w:rsidP="00E818A4">
            <w:pPr>
              <w:rPr>
                <w:sz w:val="18"/>
                <w:szCs w:val="18"/>
              </w:rPr>
            </w:pPr>
            <w:r w:rsidRPr="00DB44FE">
              <w:rPr>
                <w:sz w:val="18"/>
                <w:szCs w:val="18"/>
              </w:rPr>
              <w:t>Azerbaijan-East, Fars</w:t>
            </w:r>
          </w:p>
        </w:tc>
        <w:tc>
          <w:tcPr>
            <w:tcW w:w="3117" w:type="dxa"/>
          </w:tcPr>
          <w:p w:rsidR="005A1698" w:rsidRPr="00DB44FE" w:rsidRDefault="005A1698" w:rsidP="00E818A4">
            <w:pPr>
              <w:rPr>
                <w:sz w:val="18"/>
                <w:szCs w:val="18"/>
              </w:rPr>
            </w:pPr>
            <w:r w:rsidRPr="00DB44FE">
              <w:rPr>
                <w:sz w:val="18"/>
                <w:szCs w:val="18"/>
              </w:rPr>
              <w:t>Fars</w:t>
            </w:r>
          </w:p>
        </w:tc>
      </w:tr>
      <w:tr w:rsidR="005A1698" w:rsidRPr="00DB44FE" w:rsidTr="00E818A4">
        <w:tc>
          <w:tcPr>
            <w:tcW w:w="1075" w:type="dxa"/>
            <w:shd w:val="clear" w:color="auto" w:fill="auto"/>
          </w:tcPr>
          <w:p w:rsidR="005A1698" w:rsidRPr="00DB44FE" w:rsidRDefault="005A1698" w:rsidP="00E818A4">
            <w:pPr>
              <w:rPr>
                <w:sz w:val="18"/>
                <w:szCs w:val="18"/>
              </w:rPr>
            </w:pPr>
            <w:r w:rsidRPr="00DB44FE">
              <w:rPr>
                <w:sz w:val="18"/>
                <w:szCs w:val="18"/>
              </w:rPr>
              <w:t>4</w:t>
            </w:r>
          </w:p>
        </w:tc>
        <w:tc>
          <w:tcPr>
            <w:tcW w:w="5158" w:type="dxa"/>
          </w:tcPr>
          <w:p w:rsidR="005A1698" w:rsidRPr="00DB44FE" w:rsidRDefault="005A1698" w:rsidP="00E818A4">
            <w:pPr>
              <w:rPr>
                <w:sz w:val="18"/>
                <w:szCs w:val="18"/>
              </w:rPr>
            </w:pPr>
            <w:r w:rsidRPr="00DB44FE">
              <w:rPr>
                <w:sz w:val="18"/>
                <w:szCs w:val="18"/>
              </w:rPr>
              <w:t>Azerbaijan-West, Kerman, Sistan-and-Baluchestan</w:t>
            </w:r>
          </w:p>
        </w:tc>
        <w:tc>
          <w:tcPr>
            <w:tcW w:w="3117" w:type="dxa"/>
          </w:tcPr>
          <w:p w:rsidR="005A1698" w:rsidRPr="00DB44FE" w:rsidRDefault="005A1698" w:rsidP="00E818A4">
            <w:pPr>
              <w:rPr>
                <w:sz w:val="18"/>
                <w:szCs w:val="18"/>
              </w:rPr>
            </w:pPr>
            <w:r w:rsidRPr="00DB44FE">
              <w:rPr>
                <w:sz w:val="18"/>
                <w:szCs w:val="18"/>
              </w:rPr>
              <w:t>Azerbaijan-West</w:t>
            </w:r>
          </w:p>
        </w:tc>
      </w:tr>
      <w:tr w:rsidR="005A1698" w:rsidRPr="00DB44FE" w:rsidTr="00E818A4">
        <w:tc>
          <w:tcPr>
            <w:tcW w:w="1075" w:type="dxa"/>
            <w:shd w:val="clear" w:color="auto" w:fill="auto"/>
          </w:tcPr>
          <w:p w:rsidR="005A1698" w:rsidRPr="00DB44FE" w:rsidRDefault="005A1698" w:rsidP="00E818A4">
            <w:pPr>
              <w:rPr>
                <w:sz w:val="18"/>
                <w:szCs w:val="18"/>
              </w:rPr>
            </w:pPr>
            <w:r w:rsidRPr="00DB44FE">
              <w:rPr>
                <w:sz w:val="18"/>
                <w:szCs w:val="18"/>
              </w:rPr>
              <w:t>5</w:t>
            </w:r>
          </w:p>
        </w:tc>
        <w:tc>
          <w:tcPr>
            <w:tcW w:w="5158" w:type="dxa"/>
          </w:tcPr>
          <w:p w:rsidR="005A1698" w:rsidRPr="00DB44FE" w:rsidRDefault="005A1698" w:rsidP="00E818A4">
            <w:pPr>
              <w:rPr>
                <w:sz w:val="18"/>
                <w:szCs w:val="18"/>
              </w:rPr>
            </w:pPr>
            <w:r w:rsidRPr="00DB44FE">
              <w:rPr>
                <w:sz w:val="18"/>
                <w:szCs w:val="18"/>
              </w:rPr>
              <w:t>Khuzestan, Golestan</w:t>
            </w:r>
          </w:p>
        </w:tc>
        <w:tc>
          <w:tcPr>
            <w:tcW w:w="3117" w:type="dxa"/>
          </w:tcPr>
          <w:p w:rsidR="005A1698" w:rsidRPr="00DB44FE" w:rsidRDefault="005A1698" w:rsidP="00E818A4">
            <w:pPr>
              <w:rPr>
                <w:sz w:val="18"/>
                <w:szCs w:val="18"/>
              </w:rPr>
            </w:pPr>
            <w:r w:rsidRPr="00DB44FE">
              <w:rPr>
                <w:sz w:val="18"/>
                <w:szCs w:val="18"/>
              </w:rPr>
              <w:t>Khuzestan</w:t>
            </w:r>
          </w:p>
        </w:tc>
      </w:tr>
      <w:tr w:rsidR="005A1698" w:rsidRPr="00DB44FE" w:rsidTr="00E818A4">
        <w:tc>
          <w:tcPr>
            <w:tcW w:w="1075" w:type="dxa"/>
            <w:shd w:val="clear" w:color="auto" w:fill="auto"/>
          </w:tcPr>
          <w:p w:rsidR="005A1698" w:rsidRPr="00DB44FE" w:rsidRDefault="005A1698" w:rsidP="00E818A4">
            <w:pPr>
              <w:rPr>
                <w:sz w:val="18"/>
                <w:szCs w:val="18"/>
              </w:rPr>
            </w:pPr>
            <w:r w:rsidRPr="00DB44FE">
              <w:rPr>
                <w:sz w:val="18"/>
                <w:szCs w:val="18"/>
              </w:rPr>
              <w:t>6</w:t>
            </w:r>
          </w:p>
        </w:tc>
        <w:tc>
          <w:tcPr>
            <w:tcW w:w="5158" w:type="dxa"/>
          </w:tcPr>
          <w:p w:rsidR="005A1698" w:rsidRPr="00DB44FE" w:rsidRDefault="005A1698" w:rsidP="00E818A4">
            <w:pPr>
              <w:rPr>
                <w:sz w:val="18"/>
                <w:szCs w:val="18"/>
              </w:rPr>
            </w:pPr>
            <w:r w:rsidRPr="00DB44FE">
              <w:rPr>
                <w:sz w:val="18"/>
                <w:szCs w:val="18"/>
              </w:rPr>
              <w:t>Tehran, Khorasan-Razavi</w:t>
            </w:r>
          </w:p>
        </w:tc>
        <w:tc>
          <w:tcPr>
            <w:tcW w:w="3117" w:type="dxa"/>
          </w:tcPr>
          <w:p w:rsidR="005A1698" w:rsidRPr="00DB44FE" w:rsidRDefault="005A1698" w:rsidP="00E818A4">
            <w:pPr>
              <w:rPr>
                <w:sz w:val="18"/>
                <w:szCs w:val="18"/>
              </w:rPr>
            </w:pPr>
            <w:r w:rsidRPr="00DB44FE">
              <w:rPr>
                <w:sz w:val="18"/>
                <w:szCs w:val="18"/>
              </w:rPr>
              <w:t>Tehran</w:t>
            </w:r>
          </w:p>
        </w:tc>
      </w:tr>
      <w:tr w:rsidR="005A1698" w:rsidRPr="00DB44FE" w:rsidTr="00E818A4">
        <w:tc>
          <w:tcPr>
            <w:tcW w:w="1075" w:type="dxa"/>
            <w:shd w:val="clear" w:color="auto" w:fill="auto"/>
          </w:tcPr>
          <w:p w:rsidR="005A1698" w:rsidRPr="00DB44FE" w:rsidRDefault="005A1698" w:rsidP="00E818A4">
            <w:pPr>
              <w:rPr>
                <w:sz w:val="18"/>
                <w:szCs w:val="18"/>
              </w:rPr>
            </w:pPr>
            <w:r w:rsidRPr="00DB44FE">
              <w:rPr>
                <w:sz w:val="18"/>
                <w:szCs w:val="18"/>
              </w:rPr>
              <w:t>7</w:t>
            </w:r>
          </w:p>
        </w:tc>
        <w:tc>
          <w:tcPr>
            <w:tcW w:w="5158" w:type="dxa"/>
          </w:tcPr>
          <w:p w:rsidR="005A1698" w:rsidRPr="00DB44FE" w:rsidRDefault="005A1698" w:rsidP="00E818A4">
            <w:pPr>
              <w:rPr>
                <w:sz w:val="18"/>
                <w:szCs w:val="18"/>
              </w:rPr>
            </w:pPr>
            <w:r w:rsidRPr="00DB44FE">
              <w:rPr>
                <w:sz w:val="18"/>
                <w:szCs w:val="18"/>
              </w:rPr>
              <w:t>Kurdistan, Lorestan, Zanjan, Ardebil, Qom, Khorasan</w:t>
            </w:r>
            <w:r w:rsidRPr="00DB44FE" w:rsidDel="007946B4">
              <w:rPr>
                <w:sz w:val="18"/>
                <w:szCs w:val="18"/>
              </w:rPr>
              <w:t xml:space="preserve"> </w:t>
            </w:r>
            <w:r w:rsidRPr="00DB44FE">
              <w:rPr>
                <w:sz w:val="18"/>
                <w:szCs w:val="18"/>
              </w:rPr>
              <w:t xml:space="preserve">-North </w:t>
            </w:r>
          </w:p>
        </w:tc>
        <w:tc>
          <w:tcPr>
            <w:tcW w:w="3117" w:type="dxa"/>
          </w:tcPr>
          <w:p w:rsidR="005A1698" w:rsidRPr="00DB44FE" w:rsidRDefault="005A1698" w:rsidP="00E818A4">
            <w:pPr>
              <w:rPr>
                <w:sz w:val="18"/>
                <w:szCs w:val="18"/>
              </w:rPr>
            </w:pPr>
            <w:r w:rsidRPr="00DB44FE">
              <w:rPr>
                <w:sz w:val="18"/>
                <w:szCs w:val="18"/>
              </w:rPr>
              <w:t>Lorestan</w:t>
            </w:r>
          </w:p>
        </w:tc>
      </w:tr>
      <w:tr w:rsidR="005A1698" w:rsidRPr="00DB44FE" w:rsidTr="00E818A4">
        <w:tc>
          <w:tcPr>
            <w:tcW w:w="1075" w:type="dxa"/>
            <w:shd w:val="clear" w:color="auto" w:fill="auto"/>
          </w:tcPr>
          <w:p w:rsidR="005A1698" w:rsidRPr="00DB44FE" w:rsidRDefault="005A1698" w:rsidP="00E818A4">
            <w:pPr>
              <w:rPr>
                <w:sz w:val="18"/>
                <w:szCs w:val="18"/>
              </w:rPr>
            </w:pPr>
            <w:r w:rsidRPr="00DB44FE">
              <w:rPr>
                <w:sz w:val="18"/>
                <w:szCs w:val="18"/>
              </w:rPr>
              <w:t>8</w:t>
            </w:r>
          </w:p>
        </w:tc>
        <w:tc>
          <w:tcPr>
            <w:tcW w:w="5158" w:type="dxa"/>
          </w:tcPr>
          <w:p w:rsidR="005A1698" w:rsidRPr="00DB44FE" w:rsidRDefault="005A1698" w:rsidP="00E818A4">
            <w:pPr>
              <w:rPr>
                <w:sz w:val="18"/>
                <w:szCs w:val="18"/>
              </w:rPr>
            </w:pPr>
            <w:r w:rsidRPr="00DB44FE">
              <w:rPr>
                <w:sz w:val="18"/>
                <w:szCs w:val="18"/>
              </w:rPr>
              <w:t>Chahar-Mahal-Bakhtiari, Ilam, Kohkiluyeh-and-Boyer-Ahmad, Bushehr, Semnan, Yazd, Khorasan-South</w:t>
            </w:r>
          </w:p>
        </w:tc>
        <w:tc>
          <w:tcPr>
            <w:tcW w:w="3117" w:type="dxa"/>
          </w:tcPr>
          <w:p w:rsidR="005A1698" w:rsidRPr="00DB44FE" w:rsidRDefault="005A1698" w:rsidP="00E818A4">
            <w:pPr>
              <w:rPr>
                <w:sz w:val="18"/>
                <w:szCs w:val="18"/>
              </w:rPr>
            </w:pPr>
            <w:r w:rsidRPr="00DB44FE">
              <w:rPr>
                <w:sz w:val="18"/>
                <w:szCs w:val="18"/>
              </w:rPr>
              <w:t>Khorasan-South</w:t>
            </w:r>
          </w:p>
        </w:tc>
      </w:tr>
    </w:tbl>
    <w:p w:rsidR="005A1698" w:rsidRDefault="005A1698" w:rsidP="005A1698"/>
    <w:p w:rsidR="005A1698" w:rsidRDefault="005A1698"/>
    <w:sectPr w:rsidR="005A1698" w:rsidSect="007A0D00">
      <w:footerReference w:type="default" r:id="rId13"/>
      <w:pgSz w:w="12240" w:h="15840"/>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4F77" w:rsidRDefault="000D4F77">
      <w:pPr>
        <w:spacing w:line="240" w:lineRule="auto"/>
      </w:pPr>
      <w:r>
        <w:separator/>
      </w:r>
    </w:p>
  </w:endnote>
  <w:endnote w:type="continuationSeparator" w:id="0">
    <w:p w:rsidR="000D4F77" w:rsidRDefault="000D4F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MR10">
    <w:altName w:val="Calibri"/>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6028819"/>
      <w:docPartObj>
        <w:docPartGallery w:val="Page Numbers (Bottom of Page)"/>
        <w:docPartUnique/>
      </w:docPartObj>
    </w:sdtPr>
    <w:sdtEndPr>
      <w:rPr>
        <w:noProof/>
      </w:rPr>
    </w:sdtEndPr>
    <w:sdtContent>
      <w:p w:rsidR="00C40049" w:rsidRDefault="009A32DF">
        <w:pPr>
          <w:pStyle w:val="Footer"/>
          <w:jc w:val="center"/>
        </w:pPr>
        <w:r>
          <w:fldChar w:fldCharType="begin"/>
        </w:r>
        <w:r>
          <w:instrText xml:space="preserve"> PAGE   \* MERGEFORMAT </w:instrText>
        </w:r>
        <w:r>
          <w:fldChar w:fldCharType="separate"/>
        </w:r>
        <w:r w:rsidR="00A65DE5">
          <w:rPr>
            <w:noProof/>
          </w:rPr>
          <w:t>4</w:t>
        </w:r>
        <w:r>
          <w:rPr>
            <w:noProof/>
          </w:rPr>
          <w:fldChar w:fldCharType="end"/>
        </w:r>
      </w:p>
    </w:sdtContent>
  </w:sdt>
  <w:p w:rsidR="00C40049" w:rsidRDefault="000D4F77" w:rsidP="00BC43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4F77" w:rsidRDefault="000D4F77">
      <w:pPr>
        <w:spacing w:line="240" w:lineRule="auto"/>
      </w:pPr>
      <w:r>
        <w:separator/>
      </w:r>
    </w:p>
  </w:footnote>
  <w:footnote w:type="continuationSeparator" w:id="0">
    <w:p w:rsidR="000D4F77" w:rsidRDefault="000D4F7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2DF"/>
    <w:rsid w:val="0002325A"/>
    <w:rsid w:val="000757E9"/>
    <w:rsid w:val="000D4F77"/>
    <w:rsid w:val="00215DA2"/>
    <w:rsid w:val="00281FC0"/>
    <w:rsid w:val="002D53BA"/>
    <w:rsid w:val="00304A9E"/>
    <w:rsid w:val="003D06CE"/>
    <w:rsid w:val="004327C4"/>
    <w:rsid w:val="0051652B"/>
    <w:rsid w:val="005A1698"/>
    <w:rsid w:val="006F1711"/>
    <w:rsid w:val="007B6463"/>
    <w:rsid w:val="00851953"/>
    <w:rsid w:val="009249B3"/>
    <w:rsid w:val="00956D38"/>
    <w:rsid w:val="00972800"/>
    <w:rsid w:val="009A32DF"/>
    <w:rsid w:val="00A65DE5"/>
    <w:rsid w:val="00B64B8B"/>
    <w:rsid w:val="00B81B86"/>
    <w:rsid w:val="00BF0F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4708E"/>
  <w15:chartTrackingRefBased/>
  <w15:docId w15:val="{C3F4E0D6-A481-4D9B-8272-4434E4B2E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A32DF"/>
    <w:pPr>
      <w:spacing w:after="0" w:line="360" w:lineRule="auto"/>
      <w:jc w:val="lowKashida"/>
    </w:pPr>
    <w:rPr>
      <w:rFonts w:ascii="Times New Roman" w:hAnsi="Times New Roman" w:cs="Century"/>
      <w:sz w:val="24"/>
      <w:szCs w:val="24"/>
      <w:lang w:bidi="fa-IR"/>
    </w:rPr>
  </w:style>
  <w:style w:type="paragraph" w:styleId="Heading1">
    <w:name w:val="heading 1"/>
    <w:basedOn w:val="Normal"/>
    <w:next w:val="Normal"/>
    <w:link w:val="Heading1Char"/>
    <w:uiPriority w:val="9"/>
    <w:qFormat/>
    <w:rsid w:val="009A32DF"/>
    <w:pPr>
      <w:keepNext/>
      <w:keepLines/>
      <w:outlineLvl w:val="0"/>
    </w:pPr>
    <w:rPr>
      <w:rFonts w:asciiTheme="majorBidi" w:eastAsiaTheme="majorEastAsia" w:hAnsiTheme="majorBidi"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9A32DF"/>
    <w:pPr>
      <w:keepNext/>
      <w:keepLines/>
      <w:spacing w:before="120" w:after="120"/>
      <w:outlineLvl w:val="1"/>
    </w:pPr>
    <w:rPr>
      <w:rFonts w:asciiTheme="majorBidi" w:eastAsiaTheme="majorEastAsia" w:hAnsiTheme="majorBidi" w:cs="Century Gothic"/>
      <w:b/>
      <w:color w:val="2F5496" w:themeColor="accent1" w:themeShade="BF"/>
      <w:sz w:val="28"/>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32DF"/>
    <w:rPr>
      <w:rFonts w:asciiTheme="majorBidi" w:eastAsiaTheme="majorEastAsia" w:hAnsiTheme="majorBidi" w:cstheme="majorBidi"/>
      <w:b/>
      <w:color w:val="2F5496" w:themeColor="accent1" w:themeShade="BF"/>
      <w:sz w:val="32"/>
      <w:szCs w:val="32"/>
      <w:lang w:bidi="fa-IR"/>
    </w:rPr>
  </w:style>
  <w:style w:type="character" w:customStyle="1" w:styleId="Heading2Char">
    <w:name w:val="Heading 2 Char"/>
    <w:basedOn w:val="DefaultParagraphFont"/>
    <w:link w:val="Heading2"/>
    <w:uiPriority w:val="9"/>
    <w:rsid w:val="009A32DF"/>
    <w:rPr>
      <w:rFonts w:asciiTheme="majorBidi" w:eastAsiaTheme="majorEastAsia" w:hAnsiTheme="majorBidi" w:cs="Century Gothic"/>
      <w:b/>
      <w:color w:val="2F5496" w:themeColor="accent1" w:themeShade="BF"/>
      <w:sz w:val="28"/>
      <w:szCs w:val="36"/>
      <w:lang w:bidi="fa-IR"/>
    </w:rPr>
  </w:style>
  <w:style w:type="paragraph" w:styleId="NoSpacing">
    <w:name w:val="No Spacing"/>
    <w:aliases w:val="Extra"/>
    <w:uiPriority w:val="1"/>
    <w:qFormat/>
    <w:rsid w:val="009A32DF"/>
    <w:pPr>
      <w:spacing w:after="120" w:line="240" w:lineRule="auto"/>
      <w:jc w:val="center"/>
    </w:pPr>
    <w:rPr>
      <w:rFonts w:ascii="Times New Roman" w:hAnsi="Times New Roman" w:cs="Century"/>
      <w:szCs w:val="20"/>
    </w:rPr>
  </w:style>
  <w:style w:type="table" w:styleId="TableGrid">
    <w:name w:val="Table Grid"/>
    <w:basedOn w:val="TableNormal"/>
    <w:uiPriority w:val="39"/>
    <w:rsid w:val="009A32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A32DF"/>
    <w:pPr>
      <w:tabs>
        <w:tab w:val="center" w:pos="4680"/>
        <w:tab w:val="right" w:pos="9360"/>
      </w:tabs>
      <w:spacing w:line="240" w:lineRule="auto"/>
    </w:pPr>
  </w:style>
  <w:style w:type="character" w:customStyle="1" w:styleId="FooterChar">
    <w:name w:val="Footer Char"/>
    <w:basedOn w:val="DefaultParagraphFont"/>
    <w:link w:val="Footer"/>
    <w:uiPriority w:val="99"/>
    <w:rsid w:val="009A32DF"/>
    <w:rPr>
      <w:rFonts w:ascii="Times New Roman" w:hAnsi="Times New Roman" w:cs="Century"/>
      <w:sz w:val="24"/>
      <w:szCs w:val="24"/>
      <w:lang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image" Target="media/image7.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728</Words>
  <Characters>4152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MP</dc:creator>
  <cp:keywords/>
  <dc:description/>
  <cp:lastModifiedBy>Microsoft Office User</cp:lastModifiedBy>
  <cp:revision>11</cp:revision>
  <dcterms:created xsi:type="dcterms:W3CDTF">2019-01-16T07:51:00Z</dcterms:created>
  <dcterms:modified xsi:type="dcterms:W3CDTF">2020-03-29T11:25:00Z</dcterms:modified>
</cp:coreProperties>
</file>